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152A" w14:textId="77777777" w:rsidR="00A475CE" w:rsidRPr="008A7066" w:rsidRDefault="00A475CE" w:rsidP="00A475CE">
      <w:pPr>
        <w:jc w:val="both"/>
        <w:rPr>
          <w:sz w:val="23"/>
          <w:szCs w:val="23"/>
        </w:rPr>
      </w:pPr>
      <w:r w:rsidRPr="008A7066">
        <w:rPr>
          <w:sz w:val="23"/>
          <w:szCs w:val="23"/>
        </w:rPr>
        <w:tab/>
      </w:r>
      <w:r w:rsidRPr="008A7066">
        <w:rPr>
          <w:b/>
          <w:sz w:val="23"/>
          <w:szCs w:val="23"/>
          <w:u w:val="single"/>
        </w:rPr>
        <w:t>Taxation</w:t>
      </w:r>
      <w:r w:rsidR="003A14BD">
        <w:rPr>
          <w:sz w:val="23"/>
          <w:szCs w:val="23"/>
        </w:rPr>
        <w:t>:  A service</w:t>
      </w:r>
      <w:r w:rsidR="00EC5AC7">
        <w:rPr>
          <w:sz w:val="23"/>
          <w:szCs w:val="23"/>
        </w:rPr>
        <w:t xml:space="preserve"> </w:t>
      </w:r>
      <w:r w:rsidRPr="008A7066">
        <w:rPr>
          <w:sz w:val="23"/>
          <w:szCs w:val="23"/>
        </w:rPr>
        <w:t>member’s state of legal residence may tax military income and personal property.  A member does not lose legal residence solely because of a transfer pursuant to military orders. For example, if a member is a Virginia resident and PCS’s to a base in California, the member does not lose Virginia residency nor will he or she be subject to pay California state income tax on his or her military</w:t>
      </w:r>
      <w:r w:rsidRPr="008A7066">
        <w:rPr>
          <w:i/>
          <w:sz w:val="23"/>
          <w:szCs w:val="23"/>
        </w:rPr>
        <w:t xml:space="preserve"> </w:t>
      </w:r>
      <w:r w:rsidRPr="008A7066">
        <w:rPr>
          <w:sz w:val="23"/>
          <w:szCs w:val="23"/>
        </w:rPr>
        <w:t>pay.</w:t>
      </w:r>
      <w:r w:rsidR="00C93FFA" w:rsidRPr="008A7066">
        <w:rPr>
          <w:sz w:val="23"/>
          <w:szCs w:val="23"/>
        </w:rPr>
        <w:t xml:space="preserve">  The same protections extend to a service</w:t>
      </w:r>
      <w:r w:rsidR="00EC5AC7">
        <w:rPr>
          <w:sz w:val="23"/>
          <w:szCs w:val="23"/>
        </w:rPr>
        <w:t xml:space="preserve"> </w:t>
      </w:r>
      <w:r w:rsidR="00C93FFA" w:rsidRPr="008A7066">
        <w:rPr>
          <w:sz w:val="23"/>
          <w:szCs w:val="23"/>
        </w:rPr>
        <w:t>member’s spouse in most circumstances.</w:t>
      </w:r>
    </w:p>
    <w:p w14:paraId="7142B430" w14:textId="77777777" w:rsidR="00A475CE" w:rsidRPr="008A7066" w:rsidRDefault="00A475CE" w:rsidP="00A475CE">
      <w:pPr>
        <w:jc w:val="both"/>
        <w:rPr>
          <w:sz w:val="23"/>
          <w:szCs w:val="23"/>
        </w:rPr>
      </w:pPr>
    </w:p>
    <w:p w14:paraId="27077DAA" w14:textId="77777777" w:rsidR="00A475CE" w:rsidRPr="008A7066" w:rsidRDefault="00A475CE" w:rsidP="00A475CE">
      <w:pPr>
        <w:jc w:val="both"/>
        <w:rPr>
          <w:sz w:val="23"/>
          <w:szCs w:val="23"/>
        </w:rPr>
      </w:pPr>
      <w:r w:rsidRPr="008A7066">
        <w:rPr>
          <w:sz w:val="23"/>
          <w:szCs w:val="23"/>
        </w:rPr>
        <w:tab/>
      </w:r>
      <w:r w:rsidRPr="008A7066">
        <w:rPr>
          <w:b/>
          <w:sz w:val="23"/>
          <w:szCs w:val="23"/>
          <w:u w:val="single"/>
        </w:rPr>
        <w:t>Adverse Actions</w:t>
      </w:r>
      <w:r w:rsidRPr="008A7066">
        <w:rPr>
          <w:sz w:val="23"/>
          <w:szCs w:val="23"/>
        </w:rPr>
        <w:t>: P</w:t>
      </w:r>
      <w:r w:rsidR="00A17E80">
        <w:rPr>
          <w:sz w:val="23"/>
          <w:szCs w:val="23"/>
        </w:rPr>
        <w:t xml:space="preserve">ublic Law No.102-12 amended </w:t>
      </w:r>
      <w:r w:rsidRPr="008A7066">
        <w:rPr>
          <w:sz w:val="23"/>
          <w:szCs w:val="23"/>
        </w:rPr>
        <w:t xml:space="preserve">SCRA to prohibit creditors and insurers from pursuing adverse actions (i.e., notifying credit agencies, denying credit, </w:t>
      </w:r>
      <w:r w:rsidR="003A14BD">
        <w:rPr>
          <w:sz w:val="23"/>
          <w:szCs w:val="23"/>
        </w:rPr>
        <w:t>changing terms) against service</w:t>
      </w:r>
      <w:r w:rsidR="00EC5AC7">
        <w:rPr>
          <w:sz w:val="23"/>
          <w:szCs w:val="23"/>
        </w:rPr>
        <w:t xml:space="preserve"> </w:t>
      </w:r>
      <w:r w:rsidRPr="008A7066">
        <w:rPr>
          <w:sz w:val="23"/>
          <w:szCs w:val="23"/>
        </w:rPr>
        <w:t xml:space="preserve">members who </w:t>
      </w:r>
      <w:r w:rsidR="00A17E80">
        <w:rPr>
          <w:sz w:val="23"/>
          <w:szCs w:val="23"/>
        </w:rPr>
        <w:t xml:space="preserve">exercise their rights under </w:t>
      </w:r>
      <w:r w:rsidRPr="008A7066">
        <w:rPr>
          <w:sz w:val="23"/>
          <w:szCs w:val="23"/>
        </w:rPr>
        <w:t>SCRA.</w:t>
      </w:r>
    </w:p>
    <w:p w14:paraId="656CAFB5" w14:textId="77777777" w:rsidR="00A475CE" w:rsidRPr="008A7066" w:rsidRDefault="00A475CE" w:rsidP="00A475CE">
      <w:pPr>
        <w:jc w:val="both"/>
        <w:rPr>
          <w:sz w:val="23"/>
          <w:szCs w:val="23"/>
        </w:rPr>
      </w:pPr>
    </w:p>
    <w:p w14:paraId="159DA180" w14:textId="77777777" w:rsidR="00A475CE" w:rsidRPr="008A7066" w:rsidRDefault="00A475CE" w:rsidP="00A475CE">
      <w:pPr>
        <w:ind w:firstLine="360"/>
        <w:jc w:val="both"/>
        <w:rPr>
          <w:sz w:val="23"/>
          <w:szCs w:val="23"/>
        </w:rPr>
      </w:pPr>
      <w:r w:rsidRPr="008A7066">
        <w:rPr>
          <w:b/>
          <w:sz w:val="23"/>
          <w:szCs w:val="23"/>
          <w:u w:val="single"/>
        </w:rPr>
        <w:t>Not a Free Pass:</w:t>
      </w:r>
      <w:r w:rsidR="00A17E80">
        <w:rPr>
          <w:sz w:val="23"/>
          <w:szCs w:val="23"/>
        </w:rPr>
        <w:t xml:space="preserve">  Note that </w:t>
      </w:r>
      <w:r w:rsidRPr="008A7066">
        <w:rPr>
          <w:sz w:val="23"/>
          <w:szCs w:val="23"/>
        </w:rPr>
        <w:t>SCRA is not a “free pass” from any civil courts reaching you here overseas; it’s merely giving you a little leeway in very specific situations, and this coverage is NOT automatic.  Many of these rights, especially with regard to judgments, are only a benefit to you if you as</w:t>
      </w:r>
      <w:r w:rsidR="00A17E80">
        <w:rPr>
          <w:sz w:val="23"/>
          <w:szCs w:val="23"/>
        </w:rPr>
        <w:t>sert them yourself.  Talk to a legal assistance a</w:t>
      </w:r>
      <w:r w:rsidRPr="008A7066">
        <w:rPr>
          <w:sz w:val="23"/>
          <w:szCs w:val="23"/>
        </w:rPr>
        <w:t>ttorney if you have questions.</w:t>
      </w:r>
    </w:p>
    <w:p w14:paraId="5B4970CF" w14:textId="77777777" w:rsidR="00A475CE" w:rsidRPr="008A7066" w:rsidRDefault="00A475CE" w:rsidP="00A475CE">
      <w:pPr>
        <w:ind w:firstLine="360"/>
        <w:jc w:val="both"/>
        <w:rPr>
          <w:b/>
          <w:sz w:val="23"/>
          <w:szCs w:val="23"/>
          <w:u w:val="single"/>
        </w:rPr>
      </w:pPr>
    </w:p>
    <w:p w14:paraId="2B798FB7" w14:textId="77777777" w:rsidR="00A475CE" w:rsidRPr="008A7066" w:rsidRDefault="00A475CE" w:rsidP="00A475CE">
      <w:pPr>
        <w:ind w:firstLine="360"/>
        <w:jc w:val="both"/>
        <w:rPr>
          <w:sz w:val="23"/>
          <w:szCs w:val="23"/>
        </w:rPr>
      </w:pPr>
      <w:r w:rsidRPr="008A7066">
        <w:rPr>
          <w:b/>
          <w:sz w:val="23"/>
          <w:szCs w:val="23"/>
          <w:u w:val="single"/>
        </w:rPr>
        <w:t>References</w:t>
      </w:r>
      <w:r w:rsidRPr="008A7066">
        <w:rPr>
          <w:sz w:val="23"/>
          <w:szCs w:val="23"/>
        </w:rPr>
        <w:t>:  Service</w:t>
      </w:r>
      <w:r w:rsidR="00EC5AC7">
        <w:rPr>
          <w:sz w:val="23"/>
          <w:szCs w:val="23"/>
        </w:rPr>
        <w:t xml:space="preserve"> </w:t>
      </w:r>
      <w:r w:rsidRPr="008A7066">
        <w:rPr>
          <w:sz w:val="23"/>
          <w:szCs w:val="23"/>
        </w:rPr>
        <w:t>members Civil Relief Act, 50 U.S.C.</w:t>
      </w:r>
      <w:r w:rsidR="00262726" w:rsidRPr="008A7066">
        <w:rPr>
          <w:sz w:val="23"/>
          <w:szCs w:val="23"/>
        </w:rPr>
        <w:t xml:space="preserve"> App.</w:t>
      </w:r>
      <w:r w:rsidRPr="008A7066">
        <w:rPr>
          <w:sz w:val="23"/>
          <w:szCs w:val="23"/>
        </w:rPr>
        <w:t xml:space="preserve"> §§ 50</w:t>
      </w:r>
      <w:r w:rsidR="00BE311D" w:rsidRPr="008A7066">
        <w:rPr>
          <w:sz w:val="23"/>
          <w:szCs w:val="23"/>
        </w:rPr>
        <w:t>1-597</w:t>
      </w:r>
      <w:r w:rsidRPr="008A7066">
        <w:rPr>
          <w:sz w:val="23"/>
          <w:szCs w:val="23"/>
        </w:rPr>
        <w:t>.</w:t>
      </w:r>
    </w:p>
    <w:p w14:paraId="718B2323" w14:textId="77777777" w:rsidR="00A2073B" w:rsidRPr="008A5D81" w:rsidRDefault="00A475CE" w:rsidP="00A2073B">
      <w:pPr>
        <w:jc w:val="center"/>
        <w:rPr>
          <w:rFonts w:ascii="Calisto MT" w:hAnsi="Calisto MT"/>
          <w:b/>
          <w:smallCaps/>
          <w:sz w:val="28"/>
        </w:rPr>
      </w:pPr>
      <w:r>
        <w:br w:type="column"/>
      </w:r>
      <w:r w:rsidR="00A2073B" w:rsidRPr="008A5D81">
        <w:rPr>
          <w:rFonts w:ascii="Calisto MT" w:hAnsi="Calisto MT"/>
          <w:b/>
          <w:smallCaps/>
          <w:sz w:val="28"/>
        </w:rPr>
        <w:t>Hours of Operation</w:t>
      </w:r>
    </w:p>
    <w:p w14:paraId="01CFF6BF" w14:textId="77777777" w:rsidR="00A2073B" w:rsidRPr="008A5D81" w:rsidRDefault="00A2073B" w:rsidP="00A2073B">
      <w:pPr>
        <w:jc w:val="center"/>
        <w:rPr>
          <w:rFonts w:ascii="Calisto MT" w:hAnsi="Calisto MT"/>
          <w:b/>
          <w:smallCaps/>
        </w:rPr>
      </w:pPr>
    </w:p>
    <w:p w14:paraId="2239A8C6" w14:textId="77777777" w:rsidR="00EC5AC7" w:rsidRPr="00EC5AC7" w:rsidRDefault="00EC5AC7" w:rsidP="00EC5AC7">
      <w:pPr>
        <w:jc w:val="center"/>
        <w:rPr>
          <w:b/>
          <w:szCs w:val="20"/>
        </w:rPr>
      </w:pPr>
      <w:r w:rsidRPr="00EC5AC7">
        <w:rPr>
          <w:b/>
          <w:szCs w:val="20"/>
        </w:rPr>
        <w:t>Legal Assistance</w:t>
      </w:r>
    </w:p>
    <w:p w14:paraId="190C6DEE" w14:textId="77777777" w:rsidR="00EC5AC7" w:rsidRPr="00EC5AC7" w:rsidRDefault="00EC5AC7" w:rsidP="00EC5AC7">
      <w:pPr>
        <w:jc w:val="center"/>
        <w:rPr>
          <w:szCs w:val="20"/>
        </w:rPr>
      </w:pPr>
      <w:r w:rsidRPr="00EC5AC7">
        <w:rPr>
          <w:szCs w:val="20"/>
        </w:rPr>
        <w:t>(</w:t>
      </w:r>
      <w:r w:rsidRPr="00EC5AC7">
        <w:rPr>
          <w:i/>
          <w:szCs w:val="20"/>
        </w:rPr>
        <w:t>Attorney consults by appointment only</w:t>
      </w:r>
      <w:r w:rsidRPr="00EC5AC7">
        <w:rPr>
          <w:szCs w:val="20"/>
        </w:rPr>
        <w:t>)</w:t>
      </w:r>
    </w:p>
    <w:p w14:paraId="0CE1FE35" w14:textId="77777777" w:rsidR="00EC5AC7" w:rsidRPr="00EC5AC7" w:rsidRDefault="00EC5AC7" w:rsidP="00EC5AC7">
      <w:pPr>
        <w:jc w:val="center"/>
        <w:rPr>
          <w:szCs w:val="20"/>
        </w:rPr>
      </w:pPr>
      <w:r w:rsidRPr="00EC5AC7">
        <w:rPr>
          <w:szCs w:val="20"/>
        </w:rPr>
        <w:t>Mon-</w:t>
      </w:r>
      <w:r w:rsidR="00F213C6">
        <w:rPr>
          <w:szCs w:val="20"/>
        </w:rPr>
        <w:t>Thurs</w:t>
      </w:r>
      <w:r w:rsidRPr="00EC5AC7">
        <w:rPr>
          <w:szCs w:val="20"/>
        </w:rPr>
        <w:t>: By Appointment Only</w:t>
      </w:r>
    </w:p>
    <w:p w14:paraId="54E1FA50" w14:textId="77777777" w:rsidR="00EC5AC7" w:rsidRPr="00EC5AC7" w:rsidRDefault="00EC5AC7" w:rsidP="00EC5AC7">
      <w:pPr>
        <w:jc w:val="center"/>
        <w:rPr>
          <w:szCs w:val="20"/>
        </w:rPr>
      </w:pPr>
    </w:p>
    <w:p w14:paraId="7C4CBEB4" w14:textId="77777777" w:rsidR="00EC5AC7" w:rsidRPr="00EC5AC7" w:rsidRDefault="00EC5AC7" w:rsidP="00EC5AC7">
      <w:pPr>
        <w:jc w:val="center"/>
        <w:rPr>
          <w:b/>
          <w:szCs w:val="20"/>
        </w:rPr>
      </w:pPr>
      <w:r w:rsidRPr="00EC5AC7">
        <w:rPr>
          <w:b/>
          <w:szCs w:val="20"/>
        </w:rPr>
        <w:t>Will Appointments</w:t>
      </w:r>
    </w:p>
    <w:p w14:paraId="273CF1F5" w14:textId="77777777" w:rsidR="00EC5AC7" w:rsidRPr="00EC5AC7" w:rsidRDefault="00EC5AC7" w:rsidP="00EC5AC7">
      <w:pPr>
        <w:jc w:val="center"/>
        <w:rPr>
          <w:b/>
          <w:sz w:val="20"/>
          <w:szCs w:val="20"/>
        </w:rPr>
      </w:pPr>
      <w:r w:rsidRPr="00EC5AC7">
        <w:rPr>
          <w:b/>
          <w:sz w:val="20"/>
          <w:szCs w:val="20"/>
        </w:rPr>
        <w:t>Please complete Will worksheet BEFORE you make a will appointment!</w:t>
      </w:r>
    </w:p>
    <w:p w14:paraId="681B1380" w14:textId="0F2C041F" w:rsidR="00EC5AC7" w:rsidRPr="00EC5AC7" w:rsidRDefault="00EC5AC7" w:rsidP="00EC5AC7">
      <w:pPr>
        <w:jc w:val="center"/>
        <w:rPr>
          <w:szCs w:val="20"/>
        </w:rPr>
      </w:pPr>
      <w:r w:rsidRPr="00EC5AC7">
        <w:rPr>
          <w:szCs w:val="20"/>
        </w:rPr>
        <w:t>By Appointment Only</w:t>
      </w:r>
    </w:p>
    <w:p w14:paraId="71C80AFC" w14:textId="77777777" w:rsidR="00EC5AC7" w:rsidRPr="00EC5AC7" w:rsidRDefault="00EC5AC7" w:rsidP="00EC5AC7">
      <w:pPr>
        <w:jc w:val="center"/>
        <w:rPr>
          <w:szCs w:val="20"/>
        </w:rPr>
      </w:pPr>
      <w:r w:rsidRPr="00EC5AC7">
        <w:rPr>
          <w:szCs w:val="20"/>
        </w:rPr>
        <w:t> </w:t>
      </w:r>
    </w:p>
    <w:p w14:paraId="69D0751A" w14:textId="77777777" w:rsidR="00933C4D" w:rsidRPr="00EC5AC7" w:rsidRDefault="00933C4D" w:rsidP="00933C4D">
      <w:pPr>
        <w:jc w:val="center"/>
        <w:rPr>
          <w:b/>
          <w:smallCaps/>
          <w:sz w:val="36"/>
          <w:szCs w:val="20"/>
        </w:rPr>
      </w:pPr>
      <w:bookmarkStart w:id="0" w:name="_Hlk205801620"/>
      <w:r w:rsidRPr="00EC5AC7">
        <w:rPr>
          <w:b/>
          <w:szCs w:val="20"/>
        </w:rPr>
        <w:t>Powers of Attorney/Notaries</w:t>
      </w:r>
    </w:p>
    <w:p w14:paraId="7D294633" w14:textId="77777777" w:rsidR="00933C4D" w:rsidRDefault="00933C4D" w:rsidP="00933C4D">
      <w:pPr>
        <w:snapToGrid w:val="0"/>
        <w:spacing w:line="240" w:lineRule="atLeast"/>
        <w:jc w:val="center"/>
        <w:rPr>
          <w:szCs w:val="20"/>
        </w:rPr>
      </w:pPr>
      <w:r w:rsidRPr="00EC5AC7">
        <w:rPr>
          <w:szCs w:val="20"/>
        </w:rPr>
        <w:t>Mon-</w:t>
      </w:r>
      <w:r>
        <w:rPr>
          <w:szCs w:val="20"/>
        </w:rPr>
        <w:t>Thur</w:t>
      </w:r>
      <w:r w:rsidRPr="00EC5AC7">
        <w:rPr>
          <w:szCs w:val="20"/>
        </w:rPr>
        <w:t xml:space="preserve"> </w:t>
      </w:r>
      <w:r>
        <w:rPr>
          <w:szCs w:val="20"/>
        </w:rPr>
        <w:t>0900-1600</w:t>
      </w:r>
    </w:p>
    <w:p w14:paraId="337717FA" w14:textId="77777777" w:rsidR="00933C4D" w:rsidRDefault="00933C4D" w:rsidP="00933C4D">
      <w:pPr>
        <w:snapToGrid w:val="0"/>
        <w:spacing w:line="240" w:lineRule="atLeast"/>
        <w:jc w:val="center"/>
        <w:rPr>
          <w:szCs w:val="20"/>
        </w:rPr>
      </w:pPr>
      <w:r>
        <w:rPr>
          <w:szCs w:val="20"/>
        </w:rPr>
        <w:t>Fri 0900-1400</w:t>
      </w:r>
    </w:p>
    <w:p w14:paraId="7ADF98A0" w14:textId="77777777" w:rsidR="00933C4D" w:rsidRDefault="00933C4D" w:rsidP="00933C4D">
      <w:pPr>
        <w:snapToGrid w:val="0"/>
        <w:spacing w:line="240" w:lineRule="atLeast"/>
        <w:jc w:val="center"/>
        <w:rPr>
          <w:szCs w:val="20"/>
        </w:rPr>
      </w:pPr>
      <w:r>
        <w:rPr>
          <w:szCs w:val="20"/>
        </w:rPr>
        <w:t>Closed every second Friday</w:t>
      </w:r>
    </w:p>
    <w:bookmarkEnd w:id="0"/>
    <w:p w14:paraId="7D49CC7A" w14:textId="77777777" w:rsidR="00EC5AC7" w:rsidRPr="00EC5AC7" w:rsidRDefault="00EC5AC7" w:rsidP="00EC5AC7">
      <w:pPr>
        <w:snapToGrid w:val="0"/>
        <w:jc w:val="center"/>
        <w:rPr>
          <w:szCs w:val="20"/>
        </w:rPr>
      </w:pPr>
    </w:p>
    <w:p w14:paraId="13365C6F" w14:textId="77777777" w:rsidR="00EC5AC7" w:rsidRPr="00EC5AC7" w:rsidRDefault="00EC5AC7" w:rsidP="00EC5AC7">
      <w:pPr>
        <w:snapToGrid w:val="0"/>
        <w:jc w:val="center"/>
        <w:rPr>
          <w:szCs w:val="20"/>
        </w:rPr>
      </w:pPr>
      <w:r w:rsidRPr="00EC5AC7">
        <w:rPr>
          <w:szCs w:val="20"/>
        </w:rPr>
        <w:t xml:space="preserve">You can complete power of attorney &amp; will worksheets, and read information at </w:t>
      </w:r>
      <w:r w:rsidRPr="00EC5AC7">
        <w:rPr>
          <w:b/>
          <w:szCs w:val="20"/>
          <w:u w:val="single"/>
        </w:rPr>
        <w:t>https://aflegalassistance.law.af.mil</w:t>
      </w:r>
    </w:p>
    <w:p w14:paraId="2784C865" w14:textId="77777777" w:rsidR="00EC5AC7" w:rsidRPr="00EC5AC7" w:rsidRDefault="00EC5AC7" w:rsidP="00EC5AC7">
      <w:pPr>
        <w:snapToGrid w:val="0"/>
        <w:jc w:val="center"/>
        <w:rPr>
          <w:szCs w:val="20"/>
        </w:rPr>
      </w:pPr>
    </w:p>
    <w:p w14:paraId="2C089BC4" w14:textId="77777777" w:rsidR="00EC5AC7" w:rsidRPr="00EC5AC7" w:rsidRDefault="00EC5AC7" w:rsidP="00EC5AC7">
      <w:pPr>
        <w:rPr>
          <w:szCs w:val="20"/>
        </w:rPr>
      </w:pPr>
    </w:p>
    <w:p w14:paraId="21A39FA9" w14:textId="77777777" w:rsidR="00933C4D" w:rsidRPr="00EC5AC7" w:rsidRDefault="00933C4D" w:rsidP="00933C4D">
      <w:pPr>
        <w:jc w:val="center"/>
        <w:rPr>
          <w:sz w:val="28"/>
          <w:szCs w:val="20"/>
        </w:rPr>
      </w:pPr>
      <w:bookmarkStart w:id="1" w:name="_Hlk205801615"/>
      <w:r>
        <w:rPr>
          <w:sz w:val="28"/>
          <w:szCs w:val="20"/>
        </w:rPr>
        <w:t>5</w:t>
      </w:r>
      <w:r w:rsidRPr="00EC5AC7">
        <w:rPr>
          <w:sz w:val="28"/>
          <w:szCs w:val="20"/>
        </w:rPr>
        <w:t>1 FW/JA</w:t>
      </w:r>
    </w:p>
    <w:p w14:paraId="1D30E466" w14:textId="77777777" w:rsidR="00933C4D" w:rsidRPr="00EC5AC7" w:rsidRDefault="00933C4D" w:rsidP="00933C4D">
      <w:pPr>
        <w:jc w:val="center"/>
        <w:rPr>
          <w:sz w:val="28"/>
          <w:szCs w:val="20"/>
        </w:rPr>
      </w:pPr>
      <w:r>
        <w:rPr>
          <w:sz w:val="28"/>
          <w:szCs w:val="20"/>
        </w:rPr>
        <w:t>OPC 3 BOX 2067</w:t>
      </w:r>
    </w:p>
    <w:p w14:paraId="77B6D3E6" w14:textId="77777777" w:rsidR="00933C4D" w:rsidRPr="00EC5AC7" w:rsidRDefault="00933C4D" w:rsidP="00933C4D">
      <w:pPr>
        <w:jc w:val="center"/>
        <w:rPr>
          <w:sz w:val="28"/>
          <w:szCs w:val="20"/>
        </w:rPr>
      </w:pPr>
      <w:r>
        <w:rPr>
          <w:sz w:val="28"/>
          <w:szCs w:val="20"/>
        </w:rPr>
        <w:t>APO AP 96266-2067</w:t>
      </w:r>
    </w:p>
    <w:p w14:paraId="3BEC1D42" w14:textId="77777777" w:rsidR="00933C4D" w:rsidRPr="00EC5AC7" w:rsidRDefault="00933C4D" w:rsidP="00933C4D">
      <w:pPr>
        <w:jc w:val="center"/>
        <w:rPr>
          <w:sz w:val="28"/>
          <w:szCs w:val="20"/>
        </w:rPr>
      </w:pPr>
      <w:r w:rsidRPr="00EC5AC7">
        <w:rPr>
          <w:sz w:val="28"/>
          <w:szCs w:val="20"/>
        </w:rPr>
        <w:t xml:space="preserve">Building </w:t>
      </w:r>
      <w:r>
        <w:rPr>
          <w:sz w:val="28"/>
          <w:szCs w:val="20"/>
        </w:rPr>
        <w:t>938</w:t>
      </w:r>
      <w:r w:rsidRPr="00EC5AC7">
        <w:rPr>
          <w:sz w:val="28"/>
          <w:szCs w:val="20"/>
        </w:rPr>
        <w:t xml:space="preserve">, </w:t>
      </w:r>
      <w:r>
        <w:rPr>
          <w:sz w:val="28"/>
          <w:szCs w:val="20"/>
        </w:rPr>
        <w:t>Osan</w:t>
      </w:r>
      <w:r w:rsidRPr="00EC5AC7">
        <w:rPr>
          <w:sz w:val="28"/>
          <w:szCs w:val="20"/>
        </w:rPr>
        <w:t xml:space="preserve"> AB</w:t>
      </w:r>
    </w:p>
    <w:p w14:paraId="6C2B4CCF" w14:textId="77777777" w:rsidR="00933C4D" w:rsidRPr="00EC5AC7" w:rsidRDefault="00933C4D" w:rsidP="00933C4D">
      <w:pPr>
        <w:jc w:val="center"/>
        <w:rPr>
          <w:sz w:val="28"/>
          <w:szCs w:val="20"/>
        </w:rPr>
      </w:pPr>
      <w:r>
        <w:rPr>
          <w:sz w:val="28"/>
          <w:szCs w:val="20"/>
        </w:rPr>
        <w:t>DSN 784-4131 or commercial 0505-784-4131</w:t>
      </w:r>
    </w:p>
    <w:bookmarkEnd w:id="1"/>
    <w:p w14:paraId="3BCE7057" w14:textId="77777777" w:rsidR="00EC5AC7" w:rsidRPr="00EC5AC7" w:rsidRDefault="00EC5AC7" w:rsidP="00EC5AC7">
      <w:pPr>
        <w:jc w:val="center"/>
        <w:rPr>
          <w:sz w:val="28"/>
          <w:szCs w:val="20"/>
        </w:rPr>
      </w:pPr>
    </w:p>
    <w:p w14:paraId="79B89803" w14:textId="77777777" w:rsidR="00EC5AC7" w:rsidRPr="00EC5AC7" w:rsidRDefault="00EC5AC7" w:rsidP="00EC5AC7">
      <w:pPr>
        <w:jc w:val="center"/>
        <w:rPr>
          <w:sz w:val="28"/>
          <w:szCs w:val="20"/>
        </w:rPr>
      </w:pPr>
    </w:p>
    <w:p w14:paraId="39ACA633" w14:textId="77777777" w:rsidR="00EC5AC7" w:rsidRPr="00EC5AC7" w:rsidRDefault="00EC5AC7" w:rsidP="00EC5AC7">
      <w:pPr>
        <w:jc w:val="center"/>
      </w:pPr>
    </w:p>
    <w:p w14:paraId="2F70B6CA" w14:textId="77777777" w:rsidR="00EC5AC7" w:rsidRDefault="00EC5AC7" w:rsidP="005532E6">
      <w:pPr>
        <w:rPr>
          <w:b/>
          <w:smallCaps/>
          <w:sz w:val="48"/>
        </w:rPr>
      </w:pPr>
    </w:p>
    <w:p w14:paraId="12212912" w14:textId="77777777" w:rsidR="00610285" w:rsidRDefault="00610285" w:rsidP="005532E6">
      <w:pPr>
        <w:rPr>
          <w:b/>
          <w:smallCaps/>
          <w:sz w:val="40"/>
          <w:szCs w:val="40"/>
        </w:rPr>
      </w:pPr>
    </w:p>
    <w:p w14:paraId="1D31482C" w14:textId="77777777" w:rsidR="00610285" w:rsidRDefault="00610285" w:rsidP="005532E6">
      <w:pPr>
        <w:rPr>
          <w:b/>
          <w:smallCaps/>
          <w:sz w:val="40"/>
          <w:szCs w:val="40"/>
        </w:rPr>
      </w:pPr>
    </w:p>
    <w:p w14:paraId="06AA6F0B" w14:textId="77777777" w:rsidR="00610285" w:rsidRDefault="00610285" w:rsidP="005532E6">
      <w:pPr>
        <w:rPr>
          <w:b/>
          <w:smallCaps/>
          <w:sz w:val="40"/>
          <w:szCs w:val="40"/>
        </w:rPr>
      </w:pPr>
    </w:p>
    <w:p w14:paraId="5372AF2B" w14:textId="77777777" w:rsidR="00610285" w:rsidRDefault="00610285" w:rsidP="005532E6">
      <w:pPr>
        <w:rPr>
          <w:b/>
          <w:smallCaps/>
          <w:sz w:val="40"/>
          <w:szCs w:val="40"/>
        </w:rPr>
      </w:pPr>
    </w:p>
    <w:p w14:paraId="71B6EAF8" w14:textId="77777777" w:rsidR="00A475CE" w:rsidRDefault="00610285" w:rsidP="00933C4D">
      <w:pPr>
        <w:jc w:val="center"/>
        <w:rPr>
          <w:b/>
          <w:smallCaps/>
          <w:sz w:val="40"/>
          <w:szCs w:val="40"/>
        </w:rPr>
      </w:pPr>
      <w:r>
        <w:rPr>
          <w:b/>
          <w:smallCaps/>
          <w:sz w:val="40"/>
          <w:szCs w:val="40"/>
        </w:rPr>
        <w:t>S</w:t>
      </w:r>
      <w:r w:rsidR="00A475CE" w:rsidRPr="00EC5AC7">
        <w:rPr>
          <w:b/>
          <w:smallCaps/>
          <w:sz w:val="40"/>
          <w:szCs w:val="40"/>
        </w:rPr>
        <w:t>ERVICE</w:t>
      </w:r>
      <w:r w:rsidR="00EC5AC7">
        <w:rPr>
          <w:b/>
          <w:smallCaps/>
          <w:sz w:val="40"/>
          <w:szCs w:val="40"/>
        </w:rPr>
        <w:t xml:space="preserve"> </w:t>
      </w:r>
      <w:r w:rsidR="00A475CE" w:rsidRPr="00EC5AC7">
        <w:rPr>
          <w:b/>
          <w:smallCaps/>
          <w:sz w:val="40"/>
          <w:szCs w:val="40"/>
        </w:rPr>
        <w:t>MEMBERS CIVIL RELIEF ACT</w:t>
      </w:r>
      <w:r w:rsidR="00A475CE">
        <w:rPr>
          <w:b/>
          <w:smallCaps/>
          <w:sz w:val="48"/>
        </w:rPr>
        <w:t xml:space="preserve"> </w:t>
      </w:r>
      <w:r w:rsidR="00A475CE" w:rsidRPr="00933C4D">
        <w:rPr>
          <w:b/>
          <w:smallCaps/>
          <w:sz w:val="44"/>
          <w:szCs w:val="44"/>
        </w:rPr>
        <w:t>(scra)</w:t>
      </w:r>
    </w:p>
    <w:p w14:paraId="116130F2" w14:textId="77777777" w:rsidR="00610285" w:rsidRDefault="00610285" w:rsidP="005532E6">
      <w:pPr>
        <w:rPr>
          <w:b/>
          <w:smallCaps/>
          <w:sz w:val="40"/>
          <w:szCs w:val="40"/>
        </w:rPr>
      </w:pPr>
    </w:p>
    <w:p w14:paraId="589F6956" w14:textId="77777777" w:rsidR="00610285" w:rsidRDefault="00610285" w:rsidP="005532E6">
      <w:pPr>
        <w:rPr>
          <w:b/>
          <w:smallCaps/>
          <w:sz w:val="40"/>
        </w:rPr>
      </w:pPr>
    </w:p>
    <w:bookmarkStart w:id="2" w:name="_MON_1006577141"/>
    <w:bookmarkStart w:id="3" w:name="_MON_1006577801"/>
    <w:bookmarkEnd w:id="2"/>
    <w:bookmarkEnd w:id="3"/>
    <w:bookmarkStart w:id="4" w:name="_MON_1006153952"/>
    <w:bookmarkEnd w:id="4"/>
    <w:p w14:paraId="7698F5A2" w14:textId="77777777" w:rsidR="00A475CE" w:rsidRDefault="00A475CE" w:rsidP="00A475CE">
      <w:pPr>
        <w:jc w:val="center"/>
      </w:pPr>
      <w:r>
        <w:object w:dxaOrig="1821" w:dyaOrig="1221" w14:anchorId="2DEB8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35pt;height:87.55pt" o:ole="" fillcolor="window">
            <v:imagedata r:id="rId6" o:title=""/>
          </v:shape>
          <o:OLEObject Type="Embed" ProgID="Word.Picture.8" ShapeID="_x0000_i1025" DrawAspect="Content" ObjectID="_1816416152" r:id="rId7"/>
        </w:object>
      </w:r>
    </w:p>
    <w:p w14:paraId="65144F8B" w14:textId="77777777" w:rsidR="00A475CE" w:rsidRPr="00610285" w:rsidRDefault="00A475CE" w:rsidP="00A475CE">
      <w:pPr>
        <w:rPr>
          <w:b/>
          <w:smallCaps/>
          <w:sz w:val="40"/>
        </w:rPr>
      </w:pPr>
    </w:p>
    <w:p w14:paraId="573C85E6" w14:textId="77777777" w:rsidR="00A475CE" w:rsidRPr="00610285" w:rsidRDefault="00A475CE" w:rsidP="00610285">
      <w:pPr>
        <w:rPr>
          <w:b/>
          <w:smallCaps/>
          <w:sz w:val="40"/>
        </w:rPr>
      </w:pPr>
    </w:p>
    <w:p w14:paraId="7F08991B" w14:textId="66E5E3FD" w:rsidR="00933C4D" w:rsidRPr="00933C4D" w:rsidRDefault="00933C4D" w:rsidP="00933C4D">
      <w:pPr>
        <w:jc w:val="center"/>
        <w:rPr>
          <w:b/>
          <w:smallCaps/>
          <w:sz w:val="40"/>
          <w:szCs w:val="40"/>
        </w:rPr>
      </w:pPr>
      <w:r w:rsidRPr="00933C4D">
        <w:rPr>
          <w:b/>
          <w:smallCaps/>
          <w:sz w:val="40"/>
          <w:szCs w:val="40"/>
        </w:rPr>
        <w:t>5</w:t>
      </w:r>
      <w:r>
        <w:rPr>
          <w:b/>
          <w:smallCaps/>
          <w:sz w:val="40"/>
          <w:szCs w:val="40"/>
        </w:rPr>
        <w:t>1</w:t>
      </w:r>
      <w:r w:rsidRPr="00933C4D">
        <w:rPr>
          <w:b/>
          <w:smallCaps/>
          <w:sz w:val="40"/>
          <w:szCs w:val="40"/>
          <w:vertAlign w:val="superscript"/>
        </w:rPr>
        <w:t>st</w:t>
      </w:r>
      <w:r w:rsidRPr="00933C4D">
        <w:rPr>
          <w:b/>
          <w:smallCaps/>
          <w:sz w:val="40"/>
          <w:szCs w:val="40"/>
        </w:rPr>
        <w:t xml:space="preserve"> FIGHTER WING</w:t>
      </w:r>
    </w:p>
    <w:p w14:paraId="6B7D520A" w14:textId="07E69B78" w:rsidR="00A475CE" w:rsidRPr="00933C4D" w:rsidRDefault="00933C4D" w:rsidP="00933C4D">
      <w:pPr>
        <w:jc w:val="center"/>
        <w:rPr>
          <w:b/>
          <w:smallCaps/>
          <w:sz w:val="40"/>
          <w:szCs w:val="40"/>
        </w:rPr>
      </w:pPr>
      <w:r w:rsidRPr="00933C4D">
        <w:rPr>
          <w:b/>
          <w:smallCaps/>
          <w:sz w:val="40"/>
          <w:szCs w:val="40"/>
        </w:rPr>
        <w:t>LEGAL OFFICE</w:t>
      </w:r>
    </w:p>
    <w:p w14:paraId="41C1353B" w14:textId="77777777" w:rsidR="00A475CE" w:rsidRPr="00610285" w:rsidRDefault="00A475CE" w:rsidP="00A475CE">
      <w:pPr>
        <w:rPr>
          <w:b/>
          <w:smallCaps/>
          <w:sz w:val="40"/>
        </w:rPr>
      </w:pPr>
    </w:p>
    <w:p w14:paraId="7920C3F6" w14:textId="3F6E735F" w:rsidR="006A5445" w:rsidRDefault="00F213C6" w:rsidP="00A475CE">
      <w:pPr>
        <w:jc w:val="center"/>
        <w:rPr>
          <w:b/>
          <w:smallCaps/>
          <w:sz w:val="40"/>
        </w:rPr>
      </w:pPr>
      <w:r>
        <w:rPr>
          <w:b/>
          <w:sz w:val="20"/>
          <w:szCs w:val="20"/>
        </w:rPr>
        <w:t xml:space="preserve">Current as of </w:t>
      </w:r>
      <w:bookmarkStart w:id="5" w:name="_Hlk205801667"/>
      <w:r w:rsidR="00933C4D">
        <w:rPr>
          <w:b/>
          <w:sz w:val="20"/>
          <w:szCs w:val="20"/>
        </w:rPr>
        <w:t>August 2025</w:t>
      </w:r>
      <w:bookmarkEnd w:id="5"/>
    </w:p>
    <w:p w14:paraId="790AB504" w14:textId="77777777" w:rsidR="00610285" w:rsidRDefault="00610285" w:rsidP="00A475CE">
      <w:pPr>
        <w:jc w:val="center"/>
        <w:rPr>
          <w:b/>
          <w:smallCaps/>
          <w:sz w:val="40"/>
        </w:rPr>
      </w:pPr>
    </w:p>
    <w:p w14:paraId="2ACF5603" w14:textId="77777777" w:rsidR="00610285" w:rsidRDefault="00610285" w:rsidP="00A475CE">
      <w:pPr>
        <w:jc w:val="center"/>
        <w:rPr>
          <w:b/>
          <w:smallCaps/>
          <w:sz w:val="40"/>
        </w:rPr>
      </w:pPr>
    </w:p>
    <w:p w14:paraId="6F2378CB" w14:textId="77777777" w:rsidR="00610285" w:rsidRDefault="00610285" w:rsidP="00A475CE">
      <w:pPr>
        <w:jc w:val="center"/>
        <w:sectPr w:rsidR="00610285" w:rsidSect="00A475CE">
          <w:type w:val="continuous"/>
          <w:pgSz w:w="15840" w:h="12240" w:orient="landscape" w:code="1"/>
          <w:pgMar w:top="1152" w:right="720" w:bottom="720" w:left="720" w:header="432" w:footer="432" w:gutter="0"/>
          <w:cols w:num="3" w:space="1260"/>
        </w:sectPr>
      </w:pPr>
    </w:p>
    <w:p w14:paraId="3EDDFD6E" w14:textId="77777777" w:rsidR="00A475CE" w:rsidRDefault="00A475CE" w:rsidP="00A475CE">
      <w:pPr>
        <w:pStyle w:val="Title"/>
        <w:rPr>
          <w:sz w:val="32"/>
        </w:rPr>
      </w:pPr>
      <w:r>
        <w:rPr>
          <w:sz w:val="32"/>
        </w:rPr>
        <w:lastRenderedPageBreak/>
        <w:t>SERVICE</w:t>
      </w:r>
      <w:r w:rsidR="00EC5AC7">
        <w:rPr>
          <w:sz w:val="32"/>
        </w:rPr>
        <w:t xml:space="preserve"> </w:t>
      </w:r>
      <w:r>
        <w:rPr>
          <w:sz w:val="32"/>
        </w:rPr>
        <w:t>MEMBERS CIVIL RELIEF ACT</w:t>
      </w:r>
    </w:p>
    <w:p w14:paraId="65503E33" w14:textId="77777777" w:rsidR="00A475CE" w:rsidRDefault="00A475CE" w:rsidP="00A475CE"/>
    <w:p w14:paraId="526F112E" w14:textId="77777777" w:rsidR="00A475CE" w:rsidRPr="008A7066" w:rsidRDefault="00A475CE" w:rsidP="00A475CE">
      <w:pPr>
        <w:ind w:firstLine="360"/>
        <w:jc w:val="both"/>
        <w:rPr>
          <w:sz w:val="23"/>
          <w:szCs w:val="23"/>
        </w:rPr>
      </w:pPr>
      <w:r w:rsidRPr="008A7066">
        <w:rPr>
          <w:sz w:val="23"/>
          <w:szCs w:val="23"/>
        </w:rPr>
        <w:t>The Service</w:t>
      </w:r>
      <w:r w:rsidR="00EC5AC7">
        <w:rPr>
          <w:sz w:val="23"/>
          <w:szCs w:val="23"/>
        </w:rPr>
        <w:t xml:space="preserve"> </w:t>
      </w:r>
      <w:r w:rsidRPr="008A7066">
        <w:rPr>
          <w:sz w:val="23"/>
          <w:szCs w:val="23"/>
        </w:rPr>
        <w:t>members Civil Relief Act of 2003 (SCRA) provides a wide range of protection for individuals entering or called to active dut</w:t>
      </w:r>
      <w:r w:rsidR="00A17E80">
        <w:rPr>
          <w:sz w:val="23"/>
          <w:szCs w:val="23"/>
        </w:rPr>
        <w:t xml:space="preserve">y in the military service.  </w:t>
      </w:r>
      <w:r w:rsidRPr="008A7066">
        <w:rPr>
          <w:sz w:val="23"/>
          <w:szCs w:val="23"/>
        </w:rPr>
        <w:t xml:space="preserve">SCRA is intended to postpone or suspend certain </w:t>
      </w:r>
      <w:r w:rsidRPr="008A7066">
        <w:rPr>
          <w:i/>
          <w:sz w:val="23"/>
          <w:szCs w:val="23"/>
        </w:rPr>
        <w:t xml:space="preserve">civil </w:t>
      </w:r>
      <w:r w:rsidRPr="008A7066">
        <w:rPr>
          <w:sz w:val="23"/>
          <w:szCs w:val="23"/>
        </w:rPr>
        <w:t>(not criminal) obligations to enable service members to devote full attention to duty.</w:t>
      </w:r>
    </w:p>
    <w:p w14:paraId="09F2E5B6" w14:textId="77777777" w:rsidR="00A475CE" w:rsidRPr="008A7066" w:rsidRDefault="00A475CE" w:rsidP="00A475CE">
      <w:pPr>
        <w:jc w:val="both"/>
        <w:rPr>
          <w:sz w:val="23"/>
          <w:szCs w:val="23"/>
        </w:rPr>
      </w:pPr>
    </w:p>
    <w:p w14:paraId="46631BFB" w14:textId="77777777" w:rsidR="00A475CE" w:rsidRPr="008A7066" w:rsidRDefault="00A475CE" w:rsidP="00A475CE">
      <w:pPr>
        <w:ind w:firstLine="360"/>
        <w:jc w:val="both"/>
        <w:rPr>
          <w:sz w:val="23"/>
          <w:szCs w:val="23"/>
        </w:rPr>
      </w:pPr>
      <w:r w:rsidRPr="008A7066">
        <w:rPr>
          <w:sz w:val="23"/>
          <w:szCs w:val="23"/>
        </w:rPr>
        <w:t>The protections generally begin on the date of entering active duty and generally terminate within 30 to 90 days after the date of discharge from active duty.   Reservists and the members of the Nati</w:t>
      </w:r>
      <w:r w:rsidR="00A17E80">
        <w:rPr>
          <w:sz w:val="23"/>
          <w:szCs w:val="23"/>
        </w:rPr>
        <w:t xml:space="preserve">onal Guard are protected by </w:t>
      </w:r>
      <w:r w:rsidRPr="008A7066">
        <w:rPr>
          <w:sz w:val="23"/>
          <w:szCs w:val="23"/>
        </w:rPr>
        <w:t xml:space="preserve">SCRA while on active duty. </w:t>
      </w:r>
      <w:r w:rsidR="00BE311D" w:rsidRPr="008A7066">
        <w:rPr>
          <w:sz w:val="23"/>
          <w:szCs w:val="23"/>
        </w:rPr>
        <w:t xml:space="preserve"> SCRA protections m</w:t>
      </w:r>
      <w:r w:rsidR="00A17E80">
        <w:rPr>
          <w:sz w:val="23"/>
          <w:szCs w:val="23"/>
        </w:rPr>
        <w:t>ay also extend to service</w:t>
      </w:r>
      <w:r w:rsidR="00EC5AC7">
        <w:rPr>
          <w:sz w:val="23"/>
          <w:szCs w:val="23"/>
        </w:rPr>
        <w:t xml:space="preserve"> </w:t>
      </w:r>
      <w:r w:rsidR="00A17E80">
        <w:rPr>
          <w:sz w:val="23"/>
          <w:szCs w:val="23"/>
        </w:rPr>
        <w:t>member</w:t>
      </w:r>
      <w:r w:rsidR="00BE311D" w:rsidRPr="008A7066">
        <w:rPr>
          <w:sz w:val="23"/>
          <w:szCs w:val="23"/>
        </w:rPr>
        <w:t>s dependents in limited circumstances.</w:t>
      </w:r>
      <w:r w:rsidRPr="008A7066">
        <w:rPr>
          <w:sz w:val="23"/>
          <w:szCs w:val="23"/>
        </w:rPr>
        <w:t xml:space="preserve"> Members who face problems in the areas listed below should be referred to the </w:t>
      </w:r>
      <w:r w:rsidR="00180AF1">
        <w:rPr>
          <w:sz w:val="23"/>
          <w:szCs w:val="23"/>
        </w:rPr>
        <w:t>base legal office for legal assistance</w:t>
      </w:r>
      <w:r w:rsidRPr="008A7066">
        <w:rPr>
          <w:sz w:val="23"/>
          <w:szCs w:val="23"/>
        </w:rPr>
        <w:t>.</w:t>
      </w:r>
    </w:p>
    <w:p w14:paraId="6335541B" w14:textId="77777777" w:rsidR="00A475CE" w:rsidRPr="008A7066" w:rsidRDefault="00A475CE" w:rsidP="00A475CE">
      <w:pPr>
        <w:ind w:firstLine="360"/>
        <w:jc w:val="both"/>
        <w:rPr>
          <w:sz w:val="23"/>
          <w:szCs w:val="23"/>
        </w:rPr>
      </w:pPr>
    </w:p>
    <w:p w14:paraId="0FE88D8B" w14:textId="77777777" w:rsidR="00A475CE" w:rsidRPr="008A7066" w:rsidRDefault="00A17E80" w:rsidP="00A475CE">
      <w:pPr>
        <w:ind w:firstLine="360"/>
        <w:jc w:val="both"/>
        <w:rPr>
          <w:sz w:val="23"/>
          <w:szCs w:val="23"/>
        </w:rPr>
      </w:pPr>
      <w:r>
        <w:rPr>
          <w:sz w:val="23"/>
          <w:szCs w:val="23"/>
        </w:rPr>
        <w:t xml:space="preserve">Note, however, that </w:t>
      </w:r>
      <w:r w:rsidR="00A475CE" w:rsidRPr="008A7066">
        <w:rPr>
          <w:sz w:val="23"/>
          <w:szCs w:val="23"/>
        </w:rPr>
        <w:t xml:space="preserve">SCRA is a U.S. Federal </w:t>
      </w:r>
      <w:r>
        <w:rPr>
          <w:sz w:val="23"/>
          <w:szCs w:val="23"/>
        </w:rPr>
        <w:t xml:space="preserve">law.  The protections under </w:t>
      </w:r>
      <w:r w:rsidR="00A475CE" w:rsidRPr="008A7066">
        <w:rPr>
          <w:sz w:val="23"/>
          <w:szCs w:val="23"/>
        </w:rPr>
        <w:t xml:space="preserve">SCRA may apply to issues you have with courts and contracts you made in the U.S. but </w:t>
      </w:r>
      <w:r w:rsidR="00A475CE" w:rsidRPr="008A7066">
        <w:rPr>
          <w:i/>
          <w:sz w:val="23"/>
          <w:szCs w:val="23"/>
        </w:rPr>
        <w:t xml:space="preserve">don’t </w:t>
      </w:r>
      <w:r w:rsidR="00A475CE" w:rsidRPr="008A7066">
        <w:rPr>
          <w:sz w:val="23"/>
          <w:szCs w:val="23"/>
        </w:rPr>
        <w:t xml:space="preserve">apply to courts and contracts made solely under </w:t>
      </w:r>
      <w:r w:rsidR="00252806">
        <w:rPr>
          <w:sz w:val="23"/>
          <w:szCs w:val="23"/>
        </w:rPr>
        <w:t>Italian</w:t>
      </w:r>
      <w:r w:rsidR="00A475CE" w:rsidRPr="008A7066">
        <w:rPr>
          <w:sz w:val="23"/>
          <w:szCs w:val="23"/>
        </w:rPr>
        <w:t xml:space="preserve"> law.</w:t>
      </w:r>
    </w:p>
    <w:p w14:paraId="678AB907" w14:textId="77777777" w:rsidR="00A475CE" w:rsidRPr="008A7066" w:rsidRDefault="00A475CE" w:rsidP="00A475CE">
      <w:pPr>
        <w:ind w:firstLine="360"/>
        <w:jc w:val="both"/>
        <w:rPr>
          <w:sz w:val="23"/>
          <w:szCs w:val="23"/>
        </w:rPr>
      </w:pPr>
    </w:p>
    <w:p w14:paraId="4FE92FD6" w14:textId="77777777" w:rsidR="00A475CE" w:rsidRPr="008A7066" w:rsidRDefault="00A475CE" w:rsidP="00A475CE">
      <w:pPr>
        <w:jc w:val="center"/>
        <w:rPr>
          <w:b/>
          <w:i/>
          <w:smallCaps/>
          <w:sz w:val="23"/>
          <w:szCs w:val="23"/>
        </w:rPr>
      </w:pPr>
      <w:r w:rsidRPr="008A7066">
        <w:rPr>
          <w:b/>
          <w:i/>
          <w:smallCaps/>
          <w:sz w:val="23"/>
          <w:szCs w:val="23"/>
        </w:rPr>
        <w:t>What SCRA Protects</w:t>
      </w:r>
    </w:p>
    <w:p w14:paraId="3FDD0CF8" w14:textId="77777777" w:rsidR="00A475CE" w:rsidRPr="008A7066" w:rsidRDefault="00A475CE" w:rsidP="00A475CE">
      <w:pPr>
        <w:jc w:val="center"/>
        <w:rPr>
          <w:b/>
          <w:i/>
          <w:smallCaps/>
          <w:sz w:val="23"/>
          <w:szCs w:val="23"/>
        </w:rPr>
      </w:pPr>
    </w:p>
    <w:p w14:paraId="1E4752F9" w14:textId="77777777" w:rsidR="00A475CE" w:rsidRPr="008A7066" w:rsidRDefault="00A475CE" w:rsidP="00A475CE">
      <w:pPr>
        <w:jc w:val="both"/>
        <w:rPr>
          <w:sz w:val="23"/>
          <w:szCs w:val="23"/>
        </w:rPr>
      </w:pPr>
      <w:r w:rsidRPr="008A7066">
        <w:rPr>
          <w:sz w:val="23"/>
          <w:szCs w:val="23"/>
        </w:rPr>
        <w:tab/>
      </w:r>
      <w:r w:rsidRPr="008A7066">
        <w:rPr>
          <w:b/>
          <w:sz w:val="23"/>
          <w:szCs w:val="23"/>
          <w:u w:val="single"/>
        </w:rPr>
        <w:t>Rent</w:t>
      </w:r>
      <w:r w:rsidR="00A17E80">
        <w:rPr>
          <w:sz w:val="23"/>
          <w:szCs w:val="23"/>
        </w:rPr>
        <w:t xml:space="preserve">: </w:t>
      </w:r>
      <w:r w:rsidRPr="008A7066">
        <w:rPr>
          <w:sz w:val="23"/>
          <w:szCs w:val="23"/>
        </w:rPr>
        <w:t>SCRA prohibits eviction, without a</w:t>
      </w:r>
      <w:r w:rsidR="00A17E80">
        <w:rPr>
          <w:sz w:val="23"/>
          <w:szCs w:val="23"/>
        </w:rPr>
        <w:t xml:space="preserve"> court order, of a service</w:t>
      </w:r>
      <w:r w:rsidR="00EC5AC7">
        <w:rPr>
          <w:sz w:val="23"/>
          <w:szCs w:val="23"/>
        </w:rPr>
        <w:t xml:space="preserve"> </w:t>
      </w:r>
      <w:r w:rsidRPr="008A7066">
        <w:rPr>
          <w:sz w:val="23"/>
          <w:szCs w:val="23"/>
        </w:rPr>
        <w:t>member and dependents from rented housing w</w:t>
      </w:r>
      <w:r w:rsidR="00AB0160" w:rsidRPr="008A7066">
        <w:rPr>
          <w:sz w:val="23"/>
          <w:szCs w:val="23"/>
        </w:rPr>
        <w:t>here the rent does not exceed $3,</w:t>
      </w:r>
      <w:r w:rsidR="00551555" w:rsidRPr="008A7066">
        <w:rPr>
          <w:sz w:val="23"/>
          <w:szCs w:val="23"/>
        </w:rPr>
        <w:t>217.81</w:t>
      </w:r>
      <w:r w:rsidR="00AB0160" w:rsidRPr="008A7066">
        <w:rPr>
          <w:sz w:val="23"/>
          <w:szCs w:val="23"/>
        </w:rPr>
        <w:t>5</w:t>
      </w:r>
      <w:r w:rsidRPr="008A7066">
        <w:rPr>
          <w:sz w:val="23"/>
          <w:szCs w:val="23"/>
        </w:rPr>
        <w:t xml:space="preserve"> per </w:t>
      </w:r>
      <w:r w:rsidRPr="008A7066">
        <w:rPr>
          <w:sz w:val="23"/>
          <w:szCs w:val="23"/>
        </w:rPr>
        <w:t>month. The court may delay eviction proceedings for up to three months.</w:t>
      </w:r>
    </w:p>
    <w:p w14:paraId="3146DBDF" w14:textId="77777777" w:rsidR="00A475CE" w:rsidRPr="008A7066" w:rsidRDefault="00A475CE" w:rsidP="00A475CE">
      <w:pPr>
        <w:jc w:val="both"/>
        <w:rPr>
          <w:sz w:val="23"/>
          <w:szCs w:val="23"/>
        </w:rPr>
      </w:pPr>
    </w:p>
    <w:p w14:paraId="066DC372" w14:textId="77777777" w:rsidR="00A475CE" w:rsidRPr="008A7066" w:rsidRDefault="00A475CE" w:rsidP="00A475CE">
      <w:pPr>
        <w:jc w:val="both"/>
        <w:rPr>
          <w:sz w:val="23"/>
          <w:szCs w:val="23"/>
        </w:rPr>
      </w:pPr>
      <w:r w:rsidRPr="008A7066">
        <w:rPr>
          <w:sz w:val="23"/>
          <w:szCs w:val="23"/>
        </w:rPr>
        <w:tab/>
      </w:r>
      <w:r w:rsidRPr="008A7066">
        <w:rPr>
          <w:b/>
          <w:sz w:val="23"/>
          <w:szCs w:val="23"/>
          <w:u w:val="single"/>
        </w:rPr>
        <w:t>Installment Contracts</w:t>
      </w:r>
      <w:r w:rsidRPr="008A7066">
        <w:rPr>
          <w:sz w:val="23"/>
          <w:szCs w:val="23"/>
        </w:rPr>
        <w:t>: A service member who enters into an installment contract</w:t>
      </w:r>
      <w:r w:rsidR="00BA1F98" w:rsidRPr="008A7066">
        <w:rPr>
          <w:sz w:val="23"/>
          <w:szCs w:val="23"/>
        </w:rPr>
        <w:t xml:space="preserve"> (e.g. purchase of real or personal property)</w:t>
      </w:r>
      <w:r w:rsidRPr="008A7066">
        <w:rPr>
          <w:sz w:val="23"/>
          <w:szCs w:val="23"/>
        </w:rPr>
        <w:t xml:space="preserve"> </w:t>
      </w:r>
      <w:r w:rsidRPr="008A7066">
        <w:rPr>
          <w:i/>
          <w:sz w:val="23"/>
          <w:szCs w:val="23"/>
        </w:rPr>
        <w:t xml:space="preserve">prior </w:t>
      </w:r>
      <w:r w:rsidRPr="008A7066">
        <w:rPr>
          <w:sz w:val="23"/>
          <w:szCs w:val="23"/>
        </w:rPr>
        <w:t xml:space="preserve">to entering active duty is protected if his or her ability to make payments is </w:t>
      </w:r>
      <w:r w:rsidRPr="008A7066">
        <w:rPr>
          <w:i/>
          <w:sz w:val="23"/>
          <w:szCs w:val="23"/>
        </w:rPr>
        <w:t xml:space="preserve">materially affected </w:t>
      </w:r>
      <w:r w:rsidRPr="008A7066">
        <w:rPr>
          <w:sz w:val="23"/>
          <w:szCs w:val="23"/>
        </w:rPr>
        <w:t xml:space="preserve">by military service.  Here the </w:t>
      </w:r>
      <w:r w:rsidR="00A17E80">
        <w:rPr>
          <w:sz w:val="23"/>
          <w:szCs w:val="23"/>
        </w:rPr>
        <w:t>courts will compare the service</w:t>
      </w:r>
      <w:r w:rsidR="00EC5AC7">
        <w:rPr>
          <w:sz w:val="23"/>
          <w:szCs w:val="23"/>
        </w:rPr>
        <w:t xml:space="preserve"> </w:t>
      </w:r>
      <w:r w:rsidRPr="008A7066">
        <w:rPr>
          <w:sz w:val="23"/>
          <w:szCs w:val="23"/>
        </w:rPr>
        <w:t>member's pre-service income and military income to determine financial condition.  The creditor cannot exercise rights of rescission, termination, or repossession without a court order.</w:t>
      </w:r>
    </w:p>
    <w:p w14:paraId="3BEFA031" w14:textId="77777777" w:rsidR="00A475CE" w:rsidRPr="008A7066" w:rsidRDefault="00A475CE" w:rsidP="00A475CE">
      <w:pPr>
        <w:jc w:val="both"/>
        <w:rPr>
          <w:sz w:val="23"/>
          <w:szCs w:val="23"/>
        </w:rPr>
      </w:pPr>
    </w:p>
    <w:p w14:paraId="72E13EFB" w14:textId="77777777" w:rsidR="00A475CE" w:rsidRPr="008A7066" w:rsidRDefault="00A475CE" w:rsidP="00A475CE">
      <w:pPr>
        <w:jc w:val="both"/>
        <w:rPr>
          <w:sz w:val="23"/>
          <w:szCs w:val="23"/>
        </w:rPr>
      </w:pPr>
      <w:r w:rsidRPr="008A7066">
        <w:rPr>
          <w:sz w:val="23"/>
          <w:szCs w:val="23"/>
        </w:rPr>
        <w:tab/>
      </w:r>
      <w:r w:rsidRPr="008A7066">
        <w:rPr>
          <w:b/>
          <w:sz w:val="23"/>
          <w:szCs w:val="23"/>
          <w:u w:val="single"/>
        </w:rPr>
        <w:t>Maximum Rates of Interest</w:t>
      </w:r>
      <w:r w:rsidRPr="008A7066">
        <w:rPr>
          <w:sz w:val="23"/>
          <w:szCs w:val="23"/>
        </w:rPr>
        <w:t xml:space="preserve">: If, prior to entering active duty service, a member incurs a loan or obligation with an interest rate in excess of 6%, the member will, upon application to the lender, not be obligated to pay interest in excess of 6% per year.  This relief applies during the period of active duty service unless the court finds the member's ability to pay has not been </w:t>
      </w:r>
      <w:r w:rsidRPr="008A7066">
        <w:rPr>
          <w:i/>
          <w:sz w:val="23"/>
          <w:szCs w:val="23"/>
        </w:rPr>
        <w:t>materially affected</w:t>
      </w:r>
      <w:r w:rsidRPr="008A7066">
        <w:rPr>
          <w:sz w:val="23"/>
          <w:szCs w:val="23"/>
        </w:rPr>
        <w:t xml:space="preserve"> by</w:t>
      </w:r>
      <w:r w:rsidRPr="008A7066">
        <w:rPr>
          <w:i/>
          <w:sz w:val="23"/>
          <w:szCs w:val="23"/>
        </w:rPr>
        <w:t xml:space="preserve"> </w:t>
      </w:r>
      <w:r w:rsidRPr="008A7066">
        <w:rPr>
          <w:sz w:val="23"/>
          <w:szCs w:val="23"/>
        </w:rPr>
        <w:t>military service.</w:t>
      </w:r>
    </w:p>
    <w:p w14:paraId="463A1274" w14:textId="77777777" w:rsidR="00A475CE" w:rsidRPr="008A7066" w:rsidRDefault="00A475CE" w:rsidP="00A475CE">
      <w:pPr>
        <w:pStyle w:val="p2"/>
        <w:tabs>
          <w:tab w:val="clear" w:pos="720"/>
        </w:tabs>
        <w:spacing w:line="240" w:lineRule="auto"/>
        <w:jc w:val="both"/>
        <w:rPr>
          <w:sz w:val="23"/>
          <w:szCs w:val="23"/>
        </w:rPr>
      </w:pPr>
    </w:p>
    <w:p w14:paraId="3CE2BBF1" w14:textId="77777777" w:rsidR="00A475CE" w:rsidRPr="008A7066" w:rsidRDefault="00A475CE" w:rsidP="00A475CE">
      <w:pPr>
        <w:jc w:val="both"/>
        <w:rPr>
          <w:sz w:val="23"/>
          <w:szCs w:val="23"/>
        </w:rPr>
      </w:pPr>
      <w:r w:rsidRPr="008A7066">
        <w:rPr>
          <w:sz w:val="23"/>
          <w:szCs w:val="23"/>
        </w:rPr>
        <w:tab/>
      </w:r>
      <w:r w:rsidRPr="008A7066">
        <w:rPr>
          <w:b/>
          <w:sz w:val="23"/>
          <w:szCs w:val="23"/>
          <w:u w:val="single"/>
        </w:rPr>
        <w:t>Stay of Proceedings</w:t>
      </w:r>
      <w:r w:rsidRPr="008A7066">
        <w:rPr>
          <w:sz w:val="23"/>
          <w:szCs w:val="23"/>
        </w:rPr>
        <w:t>: Courts have discretion to delay a civil court proceeding when the requirements of military service prevent the member from either asserting or protecting a legal right.  Generally, requests for a stay are granted if the time period requested is limited (e.g., TDY, involvement in exercise).  Availability of leave, including excess leave, and duty requirements are key factors.</w:t>
      </w:r>
    </w:p>
    <w:p w14:paraId="6150D12F" w14:textId="77777777" w:rsidR="00A475CE" w:rsidRPr="008A7066" w:rsidRDefault="00A475CE" w:rsidP="00A475CE">
      <w:pPr>
        <w:jc w:val="both"/>
        <w:rPr>
          <w:sz w:val="23"/>
          <w:szCs w:val="23"/>
        </w:rPr>
      </w:pPr>
    </w:p>
    <w:p w14:paraId="7475E099" w14:textId="77777777" w:rsidR="00A475CE" w:rsidRPr="008A7066" w:rsidRDefault="00A475CE" w:rsidP="00A475CE">
      <w:pPr>
        <w:jc w:val="both"/>
        <w:rPr>
          <w:sz w:val="23"/>
          <w:szCs w:val="23"/>
        </w:rPr>
      </w:pPr>
      <w:r w:rsidRPr="008A7066">
        <w:rPr>
          <w:sz w:val="23"/>
          <w:szCs w:val="23"/>
        </w:rPr>
        <w:tab/>
      </w:r>
      <w:r w:rsidRPr="008A7066">
        <w:rPr>
          <w:b/>
          <w:sz w:val="23"/>
          <w:szCs w:val="23"/>
          <w:u w:val="single"/>
        </w:rPr>
        <w:t>Default Judgments</w:t>
      </w:r>
      <w:r w:rsidRPr="008A7066">
        <w:rPr>
          <w:sz w:val="23"/>
          <w:szCs w:val="23"/>
        </w:rPr>
        <w:t>:  Before a court can enter a default judgment (for failure to respond to a lawsuit or failure to appear at trial) against a military member, the person suing the member must provide the court with an affidavit stating the defendant is not in the military.  If the defendant is in the military, the court will appoint an attorney to represent the defendant's interests (usually by seeking a delay of proceedings).  If a default judgment is entered against a service</w:t>
      </w:r>
      <w:r w:rsidR="00EC5AC7">
        <w:rPr>
          <w:sz w:val="23"/>
          <w:szCs w:val="23"/>
        </w:rPr>
        <w:t xml:space="preserve"> </w:t>
      </w:r>
      <w:r w:rsidRPr="008A7066">
        <w:rPr>
          <w:sz w:val="23"/>
          <w:szCs w:val="23"/>
        </w:rPr>
        <w:t>member, the judgment may be reopened if the member makes an application within 90 days after leaving active duty, shows he or she was prejudiced, and shows he or she had a legal defense.</w:t>
      </w:r>
    </w:p>
    <w:p w14:paraId="69363654" w14:textId="77777777" w:rsidR="00A475CE" w:rsidRPr="008A7066" w:rsidRDefault="00A475CE" w:rsidP="00A475CE">
      <w:pPr>
        <w:jc w:val="both"/>
        <w:rPr>
          <w:sz w:val="23"/>
          <w:szCs w:val="23"/>
        </w:rPr>
      </w:pPr>
    </w:p>
    <w:p w14:paraId="5FCF3252" w14:textId="77777777" w:rsidR="008A7066" w:rsidRPr="008A7066" w:rsidRDefault="00A475CE" w:rsidP="00610285">
      <w:pPr>
        <w:pStyle w:val="BodyText2"/>
        <w:ind w:firstLine="720"/>
        <w:rPr>
          <w:sz w:val="23"/>
          <w:szCs w:val="23"/>
        </w:rPr>
      </w:pPr>
      <w:r w:rsidRPr="008A7066">
        <w:rPr>
          <w:b/>
          <w:sz w:val="23"/>
          <w:szCs w:val="23"/>
          <w:u w:val="single"/>
        </w:rPr>
        <w:t>Insurance</w:t>
      </w:r>
      <w:r w:rsidR="00A17E80">
        <w:rPr>
          <w:sz w:val="23"/>
          <w:szCs w:val="23"/>
        </w:rPr>
        <w:t>: A service</w:t>
      </w:r>
      <w:r w:rsidR="00EC5AC7">
        <w:rPr>
          <w:sz w:val="23"/>
          <w:szCs w:val="23"/>
        </w:rPr>
        <w:t xml:space="preserve"> </w:t>
      </w:r>
      <w:r w:rsidRPr="008A7066">
        <w:rPr>
          <w:sz w:val="23"/>
          <w:szCs w:val="23"/>
        </w:rPr>
        <w:t>member's private life insurance policy is protected against lapse, termination</w:t>
      </w:r>
      <w:r w:rsidR="00A17E80">
        <w:rPr>
          <w:sz w:val="23"/>
          <w:szCs w:val="23"/>
        </w:rPr>
        <w:t>,</w:t>
      </w:r>
      <w:r w:rsidRPr="008A7066">
        <w:rPr>
          <w:sz w:val="23"/>
          <w:szCs w:val="23"/>
        </w:rPr>
        <w:t xml:space="preserve"> or forfeiture for nonpayment of premiums for a period of military service plus two years.  The insured or beneficiary must apply to the Veterans Administration for protection.  Title 50 of the United States Code, section 703</w:t>
      </w:r>
      <w:r w:rsidRPr="008A7066">
        <w:rPr>
          <w:i/>
          <w:sz w:val="23"/>
          <w:szCs w:val="23"/>
        </w:rPr>
        <w:t xml:space="preserve"> </w:t>
      </w:r>
      <w:r w:rsidRPr="008A7066">
        <w:rPr>
          <w:sz w:val="23"/>
          <w:szCs w:val="23"/>
        </w:rPr>
        <w:t xml:space="preserve">was also added to provide for reinstatement of any health insurance which was in effect on the day before active military service began, </w:t>
      </w:r>
      <w:r w:rsidR="008A7066" w:rsidRPr="008A7066">
        <w:rPr>
          <w:sz w:val="23"/>
          <w:szCs w:val="23"/>
        </w:rPr>
        <w:t>without waiting periods and without physical condition restrictions.</w:t>
      </w:r>
    </w:p>
    <w:p w14:paraId="2ACA4CA8" w14:textId="77777777" w:rsidR="00DE64A8" w:rsidRPr="008A7066" w:rsidRDefault="00DE64A8" w:rsidP="00A475CE">
      <w:pPr>
        <w:ind w:firstLine="360"/>
        <w:jc w:val="both"/>
        <w:rPr>
          <w:sz w:val="23"/>
          <w:szCs w:val="23"/>
        </w:rPr>
      </w:pPr>
    </w:p>
    <w:sectPr w:rsidR="00DE64A8" w:rsidRPr="008A7066">
      <w:pgSz w:w="15840" w:h="12240" w:orient="landscape" w:code="1"/>
      <w:pgMar w:top="1152" w:right="720" w:bottom="720" w:left="720" w:header="432" w:footer="432" w:gutter="0"/>
      <w:cols w:num="3" w: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729E" w14:textId="77777777" w:rsidR="004B2A29" w:rsidRDefault="004B2A29">
      <w:r>
        <w:separator/>
      </w:r>
    </w:p>
  </w:endnote>
  <w:endnote w:type="continuationSeparator" w:id="0">
    <w:p w14:paraId="49F1EA68" w14:textId="77777777" w:rsidR="004B2A29" w:rsidRDefault="004B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751D" w14:textId="77777777" w:rsidR="004B2A29" w:rsidRDefault="004B2A29">
      <w:r>
        <w:separator/>
      </w:r>
    </w:p>
  </w:footnote>
  <w:footnote w:type="continuationSeparator" w:id="0">
    <w:p w14:paraId="02E4A947" w14:textId="77777777" w:rsidR="004B2A29" w:rsidRDefault="004B2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89"/>
    <w:rsid w:val="00100EA6"/>
    <w:rsid w:val="00180AF1"/>
    <w:rsid w:val="001C5CA1"/>
    <w:rsid w:val="001E211D"/>
    <w:rsid w:val="00252806"/>
    <w:rsid w:val="00262726"/>
    <w:rsid w:val="00263253"/>
    <w:rsid w:val="00270D3C"/>
    <w:rsid w:val="00282C63"/>
    <w:rsid w:val="00296794"/>
    <w:rsid w:val="003649DC"/>
    <w:rsid w:val="00373CD8"/>
    <w:rsid w:val="0037442B"/>
    <w:rsid w:val="003A14BD"/>
    <w:rsid w:val="003B7831"/>
    <w:rsid w:val="004309EE"/>
    <w:rsid w:val="00477E1E"/>
    <w:rsid w:val="004817DE"/>
    <w:rsid w:val="004B2A29"/>
    <w:rsid w:val="004D0B8E"/>
    <w:rsid w:val="004D6606"/>
    <w:rsid w:val="00503026"/>
    <w:rsid w:val="00551555"/>
    <w:rsid w:val="005532E6"/>
    <w:rsid w:val="00562570"/>
    <w:rsid w:val="00592A3E"/>
    <w:rsid w:val="00601573"/>
    <w:rsid w:val="00603FC8"/>
    <w:rsid w:val="00610285"/>
    <w:rsid w:val="00615DEB"/>
    <w:rsid w:val="006A5445"/>
    <w:rsid w:val="006B5A6B"/>
    <w:rsid w:val="006D2A2E"/>
    <w:rsid w:val="00703700"/>
    <w:rsid w:val="00733FEC"/>
    <w:rsid w:val="00746002"/>
    <w:rsid w:val="00753AFB"/>
    <w:rsid w:val="00766740"/>
    <w:rsid w:val="00784B73"/>
    <w:rsid w:val="008A7066"/>
    <w:rsid w:val="008B589E"/>
    <w:rsid w:val="00933C4D"/>
    <w:rsid w:val="00943B55"/>
    <w:rsid w:val="00963128"/>
    <w:rsid w:val="009661BD"/>
    <w:rsid w:val="00971A0C"/>
    <w:rsid w:val="009A2576"/>
    <w:rsid w:val="00A17E80"/>
    <w:rsid w:val="00A2073B"/>
    <w:rsid w:val="00A328F1"/>
    <w:rsid w:val="00A475CE"/>
    <w:rsid w:val="00AB0160"/>
    <w:rsid w:val="00AE6D74"/>
    <w:rsid w:val="00AF5768"/>
    <w:rsid w:val="00B27583"/>
    <w:rsid w:val="00B363BB"/>
    <w:rsid w:val="00B41189"/>
    <w:rsid w:val="00B74E82"/>
    <w:rsid w:val="00BA1F98"/>
    <w:rsid w:val="00BD2CCB"/>
    <w:rsid w:val="00BE311D"/>
    <w:rsid w:val="00C20099"/>
    <w:rsid w:val="00C4555D"/>
    <w:rsid w:val="00C63618"/>
    <w:rsid w:val="00C93FFA"/>
    <w:rsid w:val="00CA6AB8"/>
    <w:rsid w:val="00CD40B1"/>
    <w:rsid w:val="00D3636E"/>
    <w:rsid w:val="00DD4690"/>
    <w:rsid w:val="00DE64A8"/>
    <w:rsid w:val="00E10D08"/>
    <w:rsid w:val="00EC5AC7"/>
    <w:rsid w:val="00F15AB1"/>
    <w:rsid w:val="00F15D2C"/>
    <w:rsid w:val="00F213C6"/>
    <w:rsid w:val="00F26EAB"/>
    <w:rsid w:val="00FD0268"/>
    <w:rsid w:val="00FF0BC7"/>
    <w:rsid w:val="00FF73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F2C1D2F"/>
  <w15:chartTrackingRefBased/>
  <w15:docId w15:val="{CB8BF426-E40A-47AE-A095-1B88D17E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4">
    <w:name w:val="heading 4"/>
    <w:basedOn w:val="Normal"/>
    <w:next w:val="Normal"/>
    <w:link w:val="Heading4Char"/>
    <w:semiHidden/>
    <w:unhideWhenUsed/>
    <w:qFormat/>
    <w:rsid w:val="00933C4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B41189"/>
    <w:pPr>
      <w:keepNext/>
      <w:jc w:val="center"/>
      <w:outlineLvl w:val="4"/>
    </w:pPr>
    <w:rPr>
      <w:bCs/>
      <w:i/>
      <w:iCs/>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p2">
    <w:name w:val="p2"/>
    <w:basedOn w:val="Normal"/>
    <w:pPr>
      <w:widowControl w:val="0"/>
      <w:tabs>
        <w:tab w:val="left" w:pos="720"/>
      </w:tabs>
      <w:spacing w:line="260" w:lineRule="atLeast"/>
    </w:pPr>
    <w:rPr>
      <w:snapToGrid w:val="0"/>
      <w:szCs w:val="20"/>
    </w:rPr>
  </w:style>
  <w:style w:type="paragraph" w:styleId="Header">
    <w:name w:val="header"/>
    <w:basedOn w:val="Normal"/>
    <w:pPr>
      <w:tabs>
        <w:tab w:val="center" w:pos="4320"/>
        <w:tab w:val="right" w:pos="8640"/>
      </w:tabs>
    </w:pPr>
    <w:rPr>
      <w:szCs w:val="20"/>
    </w:rPr>
  </w:style>
  <w:style w:type="paragraph" w:styleId="BodyText2">
    <w:name w:val="Body Text 2"/>
    <w:basedOn w:val="Normal"/>
    <w:rsid w:val="00B41189"/>
    <w:pPr>
      <w:jc w:val="both"/>
    </w:pPr>
    <w:rPr>
      <w:szCs w:val="20"/>
    </w:rPr>
  </w:style>
  <w:style w:type="character" w:styleId="Hyperlink">
    <w:name w:val="Hyperlink"/>
    <w:rsid w:val="00B41189"/>
    <w:rPr>
      <w:color w:val="0000FF"/>
      <w:u w:val="single"/>
    </w:rPr>
  </w:style>
  <w:style w:type="paragraph" w:customStyle="1" w:styleId="c1">
    <w:name w:val="c1"/>
    <w:basedOn w:val="Normal"/>
    <w:rsid w:val="00A475CE"/>
    <w:pPr>
      <w:widowControl w:val="0"/>
      <w:snapToGrid w:val="0"/>
      <w:spacing w:line="240" w:lineRule="atLeast"/>
      <w:jc w:val="center"/>
    </w:pPr>
    <w:rPr>
      <w:szCs w:val="20"/>
    </w:rPr>
  </w:style>
  <w:style w:type="paragraph" w:styleId="BalloonText">
    <w:name w:val="Balloon Text"/>
    <w:basedOn w:val="Normal"/>
    <w:link w:val="BalloonTextChar"/>
    <w:rsid w:val="00CA6AB8"/>
    <w:rPr>
      <w:rFonts w:ascii="Tahoma" w:hAnsi="Tahoma" w:cs="Tahoma"/>
      <w:sz w:val="16"/>
      <w:szCs w:val="16"/>
    </w:rPr>
  </w:style>
  <w:style w:type="character" w:customStyle="1" w:styleId="BalloonTextChar">
    <w:name w:val="Balloon Text Char"/>
    <w:link w:val="BalloonText"/>
    <w:rsid w:val="00CA6AB8"/>
    <w:rPr>
      <w:rFonts w:ascii="Tahoma" w:hAnsi="Tahoma" w:cs="Tahoma"/>
      <w:sz w:val="16"/>
      <w:szCs w:val="16"/>
    </w:rPr>
  </w:style>
  <w:style w:type="character" w:customStyle="1" w:styleId="Heading4Char">
    <w:name w:val="Heading 4 Char"/>
    <w:basedOn w:val="DefaultParagraphFont"/>
    <w:link w:val="Heading4"/>
    <w:semiHidden/>
    <w:rsid w:val="00933C4D"/>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99791">
      <w:bodyDiv w:val="1"/>
      <w:marLeft w:val="0"/>
      <w:marRight w:val="0"/>
      <w:marTop w:val="0"/>
      <w:marBottom w:val="0"/>
      <w:divBdr>
        <w:top w:val="none" w:sz="0" w:space="0" w:color="auto"/>
        <w:left w:val="none" w:sz="0" w:space="0" w:color="auto"/>
        <w:bottom w:val="none" w:sz="0" w:space="0" w:color="auto"/>
        <w:right w:val="none" w:sz="0" w:space="0" w:color="auto"/>
      </w:divBdr>
    </w:div>
    <w:div w:id="670838280">
      <w:bodyDiv w:val="1"/>
      <w:marLeft w:val="0"/>
      <w:marRight w:val="0"/>
      <w:marTop w:val="0"/>
      <w:marBottom w:val="0"/>
      <w:divBdr>
        <w:top w:val="none" w:sz="0" w:space="0" w:color="auto"/>
        <w:left w:val="none" w:sz="0" w:space="0" w:color="auto"/>
        <w:bottom w:val="none" w:sz="0" w:space="0" w:color="auto"/>
        <w:right w:val="none" w:sz="0" w:space="0" w:color="auto"/>
      </w:divBdr>
    </w:div>
    <w:div w:id="1308825217">
      <w:bodyDiv w:val="1"/>
      <w:marLeft w:val="0"/>
      <w:marRight w:val="0"/>
      <w:marTop w:val="0"/>
      <w:marBottom w:val="0"/>
      <w:divBdr>
        <w:top w:val="none" w:sz="0" w:space="0" w:color="auto"/>
        <w:left w:val="none" w:sz="0" w:space="0" w:color="auto"/>
        <w:bottom w:val="none" w:sz="0" w:space="0" w:color="auto"/>
        <w:right w:val="none" w:sz="0" w:space="0" w:color="auto"/>
      </w:divBdr>
    </w:div>
    <w:div w:id="1562279715">
      <w:bodyDiv w:val="1"/>
      <w:marLeft w:val="0"/>
      <w:marRight w:val="0"/>
      <w:marTop w:val="0"/>
      <w:marBottom w:val="0"/>
      <w:divBdr>
        <w:top w:val="none" w:sz="0" w:space="0" w:color="auto"/>
        <w:left w:val="none" w:sz="0" w:space="0" w:color="auto"/>
        <w:bottom w:val="none" w:sz="0" w:space="0" w:color="auto"/>
        <w:right w:val="none" w:sz="0" w:space="0" w:color="auto"/>
      </w:divBdr>
    </w:div>
    <w:div w:id="177027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891</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SOLDIERS AND SAILORS CIVIL RELIEF ACT (SSCRA)</vt:lpstr>
    </vt:vector>
  </TitlesOfParts>
  <Company>USAF</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SOLDIERS AND SAILORS CIVIL RELIEF ACT (SSCRA)</dc:title>
  <dc:subject/>
  <dc:creator>Carla.Arnold</dc:creator>
  <cp:keywords/>
  <cp:lastModifiedBy>FULTON, ZEN SSgt USAF PACAF 51 FW/JA</cp:lastModifiedBy>
  <cp:revision>9</cp:revision>
  <cp:lastPrinted>2017-07-26T16:29:00Z</cp:lastPrinted>
  <dcterms:created xsi:type="dcterms:W3CDTF">2022-10-25T11:48:00Z</dcterms:created>
  <dcterms:modified xsi:type="dcterms:W3CDTF">2025-08-11T02:15:00Z</dcterms:modified>
</cp:coreProperties>
</file>